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89B8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режиссурасы</w:t>
      </w:r>
      <w:proofErr w:type="spellEnd"/>
    </w:p>
    <w:p w14:paraId="376CFF55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Улицы наши кисти,</w:t>
      </w:r>
    </w:p>
    <w:p w14:paraId="6B8C2F27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Площади наши палитры.</w:t>
      </w:r>
    </w:p>
    <w:p w14:paraId="7BF9CBBF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В.Маяковский</w:t>
      </w:r>
      <w:proofErr w:type="spellEnd"/>
    </w:p>
    <w:p w14:paraId="390A63D6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қайнар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қас-қағым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дамып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қауымға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рухани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эстетикалық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тәрбие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эстрадалық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шоу.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талап-тілектер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күшейіп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ұмтылуда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Жеке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орындаулардан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әсіресе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іс-шаралардың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идеялық-көркемдік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үрдістерді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білікті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білімді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еншісінде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мүмкіндіктеріне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салада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Әрине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режиссура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мамандығының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айырмашылықтары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жетерлік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синтездік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театр, кино,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тв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цирк, пантомима, хореография,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бай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ауқымды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тәжірибесінің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молдығына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бай,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тұжырымдай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идеясына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еліктіре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әдеби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тілді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таза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драматургия»(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миниатюраның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номердің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заңдылықтарын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игерген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маман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сан-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сұрақтардың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жататыны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баршылық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Жер-жерден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керектігіне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өтініп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ұстаздарымнан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көргендерім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1980-ші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ірілі-ұсақты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қойылымдарымнан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жинақтаған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тәжірибеммен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бөлісіп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жатамын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Төмендегі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отырғандарым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Республикалық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институтына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деңгейлерін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баяндамаларымның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қысқартылған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нұсқасы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5EA4CF8C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көлемінде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наурыздан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8-наурыз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әйелдер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мерекелеріміз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десеңізші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үстіне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халқының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фәни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жалғаннан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бақилыққа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аттанғанға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салт-дәстүріне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атқарылатын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іс-шаралары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тұнып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пе!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артистері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бар.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шілдехана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бесік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той»,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қырқынан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кесер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сүндет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той»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пенденің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фәни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той-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сипатқа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«сценарий»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бітетінін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ырымдарды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«роль»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тимегендері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өкпесі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жапырақ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жыртысын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көріспестей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қақтығыстарды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басу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жуып-шайып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әзілге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татуластырып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сізге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театр!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Адамзат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қашанда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мейрамдарға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құлшыныс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ізгілік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идеалдарына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патриоттыққа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тәрбиелеуді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тұтқаны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3BB20A6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Публицистикалық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ұмтылыссыз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мамандықтың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қоятын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режиссерідің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жауапгершілігі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орасан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зор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көзқарасы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танымы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ағаттық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тәрбиелік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жіберілген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сөзсіз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материалды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таңдамаудан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нақтылап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ойластырмағандықтан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әлсіздігінен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шарықтап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даму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жолдарының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таппағандықтан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алмайтыны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Иосиф Михайлович Туманов: </w:t>
      </w:r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қауіп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шынайы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өнерді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шалағайлылық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(ремесленничество) пен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таптаурындылық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(штамп)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алмастырған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жерден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!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Алуан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өнерлерінің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ішіндегі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жеңісі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жеңілісі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спектакльдеріне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қарағанда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жүз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есеге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артады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Театрда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премьерадан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оралып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жөндеуіңе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мүмкіндігің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бар, ал,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бір-ақ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қойылғанымен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ұзақ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есте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сақталарлықтай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қалдыруы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керек»</w:t>
      </w: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психофизикалық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арақатынастарын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қақтығыстар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концерттерде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жанрлардан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драма,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би, музыка, акробатика,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құрастырылып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идея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көріністер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қатынасушылардың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символдар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қиындығы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6CE064A2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Ұстазым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КСРО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артисі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сыйлықтардың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лауреты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профессор Иосиф Михайлович </w:t>
      </w:r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Туманов(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Туманошвили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драма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опера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Москва, Берлин, Бухарест, Варшава, Хельсинки, Вена, София, Париж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қалаларында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фестивальдері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шараларының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1957-жылы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Дүниежүзі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жастары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студенттерінің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Москвадағы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фестивалі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мен 1980-жылы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Москвада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«ХХІІ-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айтсада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жеткілікті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деймін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Идеологиялық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бақталастыққа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АҚШ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байкот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жариялағанына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жабылу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КСРО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комитетінің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қарсылықтарына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қарамай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саясатты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араластырмай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спорт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мерекесінің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өткізілуі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авторы,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Иосиф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Михайловичтің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бәйгеге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тіккен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ерлігі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бюроның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көнбей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тобының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жауапгершілігін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мойынына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арты неге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адалдық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 стадион толы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жабылу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жылағанын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көргеніңіз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?!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спорт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бейбітшіліктің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құдіретін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жабылуы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қимастық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бауырластықтың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мерекесіне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Әсіресе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ХХІІ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ен-таңбасына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Қонжықтың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қоштасу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сәтіндегі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қимастықтың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көзжасына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ортақтасқаны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құралдары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қайталанбайтыны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Бейжін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Ванкувер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олимпиядаларының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жабылу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салтанаттары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компьютерлік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шексіздігін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паш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Москва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олимпиядасының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режиссура,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хореография, музыка,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өнерлердің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кереметтей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даусыз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7817D14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ұстазымыз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Франция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үкіметінің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өтінішіне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революцияларының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үлкен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ассисенттік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араластырды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Париж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қаласында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гастрольде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Б.Кноблоктың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эскизі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арнайы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спорт залы)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елдерінен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«мсье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Тумановтың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!» 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куә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Вечерный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звон»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орындалатын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зал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жылаған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 басым</w:t>
      </w:r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россиялық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эмигранттар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өксігіне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Соколов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хорының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орындауындағы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қайыңды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алқап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қызарып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шұғыласы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алыстағы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шіркеудің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төбесі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шабындықтағы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шөмелелер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шалғылары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тырмаларын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иықтарына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мүлгіген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тыныштық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бейқам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...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отырсаңыз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Есенин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өлеңге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Левитан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россия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табиғаты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...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Нағыз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сағыныш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Степан </w:t>
      </w:r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Разин(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әнді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Ермек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Серкебаев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1980-ші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жылдарға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КСРО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артистер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айтпағым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репетициясы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ұжымдарды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ассисент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істеуіміз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керектігін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істейтінін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киносы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сағатта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айғай-шусыз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Әрине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еместей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Жеке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бишілер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хор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артистері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ансамбльдер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оркестр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ауыстырып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істейтінін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репетицияларда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міндеттерімізді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аптаның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жетпейтін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сабақ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Олимпияданың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жобасын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пікірімізді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тыңдады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өндірістің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мүмкіндігінің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жоқтығынан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кірмей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Өзімізге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сценарий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жаздырып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оны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талқылаулар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түсінігімізді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қалыптастыруға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DA86D90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мезгілде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бірнеше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іс-шаралар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саудасы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«спорт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әрқайсысының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бөлімі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дәріптеумен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жарқын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белестерге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шақыруы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оптимистік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рухын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көкейкесті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өткізілуде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?» 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Өкінішке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драматургтарымыз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жаздырғанның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редакторлығының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бақылауында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әдеби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тілді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жататынымыз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1800C8D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бірнеше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</w:p>
    <w:p w14:paraId="286E2B88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 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мереке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:</w:t>
      </w: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көшеде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стадионда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клубта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спорт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сарайында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суда, тау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баурайында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т. т.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көлемі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айқындалады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Клубта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композициялық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мизансценаларына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стадион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көшеде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мерекелердікінен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отыз-қырық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жатса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жеті-сегіз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мыңдай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588BDA0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Екіншіден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керекті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мүмкіндігіңді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Декорация, бутафория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реквизиттермен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қамтамасыз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ала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есепке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ала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сценарий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proofErr w:type="spellStart"/>
      <w:r w:rsidRPr="00C86F46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Үшіншіден</w:t>
      </w: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сценариі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театр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кинодағыдай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құрылмайды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аз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өлеңдердің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ұранды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Соншама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жалаңаштанып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ұғынықты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9DF7177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Төртіншіден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би,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композициялық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көріністер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кинодағыдай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детальдарға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бармайды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гөрі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мән-мағынасының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Кей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тұстарда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зейінін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ауыстырып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жалғастыра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Былайша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драматургия»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«киномонтаж»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сценаристің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сыртқы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ішкі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екпін-ырғағын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Ол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би ме,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пе, хор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пролог,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шарықтау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эпилог)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сценарий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көкейкесті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тақырыбы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идеясын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ұқсамас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ешқашан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қайталанбас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екпін-ырғағын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табу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дегенімізбен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режиссер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сценаристің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қатысушыларды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тобына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топ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белсенділік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қолшапалақтап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дегендей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тығыз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көшіп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көпішіліктің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дөп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</w:t>
      </w:r>
    </w:p>
    <w:p w14:paraId="5C10A541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зейінін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аударуды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мейрамда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құмарлығын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жерлерге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ойындарға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жарыстарға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байқауларға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ойындарға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байқауларға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викториналар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жарыстарға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берсе,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мейрамға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сан-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топырлауының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салдарынан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апат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жазымнан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сақтайды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тәртіпсіздікті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болдырмауға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шараларын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араласуымен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финалына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іс-қимылдар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уақыттары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толығымен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минутына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топтардың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істейтіні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кететіні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толығымен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сөзбен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мизансценалық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композициясын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қағазға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компьютерлік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графика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5A08798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өрістеуі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композициясының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драматургиясынан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дамуы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шарықтауы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бөліктері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эпизодтың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мән-мағынасы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назарын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сценарист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тақырыбы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прологтан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басталғанға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фонограммалар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тілектер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үндеулер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үзбей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өрнегі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дамытып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қызығушылығын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артыра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финалға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 </w:t>
      </w:r>
      <w:r w:rsidRPr="00C86F46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Пролог</w:t>
      </w: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баурап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маңыздылығын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паш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қадам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Фанфары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қатынасушылардың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(парад участников)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кереметтей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түрлі-түсті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бояуларға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толы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кезкелген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телевидениеге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жататындықтан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көгілдір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экранда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көрінетіндігін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есепке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-шара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ту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ұстаушылары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флагоносцы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топ (фоновая группа),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фон(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художственный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фон), театр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әншілер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бишілер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хорлар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аңдары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техникалары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рет-ретімен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сәйкестіріп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қай-қайсысы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бірін-бірі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Дауылпаздар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кернейшілердің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фанфарынан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парадтан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топтардың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фонның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көріністерімен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топтармен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алқасының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төрағасына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берілісе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зейінін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жинақтауға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енуіне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төрағаның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кетуін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прологтың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Ал,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қысқа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нұсқа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әкім-қаралардың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баяндама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тапсырып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тарихы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ұзын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сонар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құттықтауын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естігісі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тағатсыздана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күтетінін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ұмытпауымыз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жерлерде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шараны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әкімнің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іс-шаралар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қарасаңызда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олқылығы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күткендей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бөлемейді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жүргізушілердің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салтанатын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паш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қадамдардың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тұрғысынан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қарауымыз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дикциясына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мәдениетіне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назар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аударылуы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сөйлегеннің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осы»-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бәтуәсіз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шықпас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еркіндікте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дараланып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A7E8D42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шарықтау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дөп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жатыр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қауым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тамашалау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ләззәт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Прологтан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мақсаттарына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еліткен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мен сценарист,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жапа-тармағай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63FE2246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Финалдың</w:t>
      </w:r>
      <w:proofErr w:type="spellEnd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ұйымдастырғандағы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санасына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бекіту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азаматтық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ұғымдарды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ояту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көңілдеріне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шаттық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ұялату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сипаты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үлгід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775B6AA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қиындықтың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ұжымдардан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мезгілде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Екіншіден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«Кем-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кетігін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толтырармын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Себебі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бір-ақ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керек?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сценаридің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монтаж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қағазға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нұсқасы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(монтажный лист).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не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істейтінін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кететінін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қамтылады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қағазға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түсіріп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Ешқашан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сақтауға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сенбеу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Сценарий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жоспары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оны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монтаждық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(монтажный лист).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</w:p>
    <w:tbl>
      <w:tblPr>
        <w:tblW w:w="954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15"/>
        <w:gridCol w:w="2232"/>
        <w:gridCol w:w="1684"/>
        <w:gridCol w:w="1406"/>
        <w:gridCol w:w="2090"/>
        <w:gridCol w:w="1761"/>
      </w:tblGrid>
      <w:tr w:rsidR="000A6A65" w:rsidRPr="00C86F46" w14:paraId="62BF1A43" w14:textId="77777777" w:rsidTr="000A6A65">
        <w:trPr>
          <w:trHeight w:val="47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6C6D" w14:textId="77777777" w:rsidR="000A6A65" w:rsidRPr="00C86F46" w:rsidRDefault="000A6A65" w:rsidP="00C86F46">
            <w:pPr>
              <w:spacing w:after="100" w:afterAutospacing="1" w:line="405" w:lineRule="atLeast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№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752D" w14:textId="77777777" w:rsidR="000A6A65" w:rsidRPr="00C86F46" w:rsidRDefault="000A6A65" w:rsidP="00C86F46">
            <w:pPr>
              <w:spacing w:after="100" w:afterAutospacing="1" w:line="405" w:lineRule="atLeast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уақыты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288C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сценариі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5D99" w14:textId="77777777" w:rsidR="000A6A65" w:rsidRPr="00C86F46" w:rsidRDefault="000A6A65" w:rsidP="00C86F46">
            <w:pPr>
              <w:spacing w:after="100" w:afterAutospacing="1" w:line="405" w:lineRule="atLeast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орындау-шылар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8F26" w14:textId="77777777" w:rsidR="000A6A65" w:rsidRPr="00C86F46" w:rsidRDefault="000A6A65" w:rsidP="00C86F46">
            <w:pPr>
              <w:spacing w:after="100" w:afterAutospacing="1" w:line="405" w:lineRule="atLeast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реквизит-тер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731B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музыка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4A588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ескерту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және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жауапты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адамдар</w:t>
            </w:r>
            <w:proofErr w:type="spellEnd"/>
          </w:p>
        </w:tc>
      </w:tr>
      <w:tr w:rsidR="000A6A65" w:rsidRPr="00C86F46" w14:paraId="08291912" w14:textId="77777777" w:rsidTr="000A6A65">
        <w:trPr>
          <w:trHeight w:val="2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5D98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lastRenderedPageBreak/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8794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11.00-11.02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02A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Ұлттық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киімдегі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үш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дауылпазшы,екі</w:t>
            </w:r>
            <w:proofErr w:type="spellEnd"/>
            <w:proofErr w:type="gram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кернейшіжігіт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сахнаға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шығып,фанфары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ойнайды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DE94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«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Құрманға-зы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» орк. Музыкант-тары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75DB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3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дауылпаз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, 2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керней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4533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Жайымов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«Фанфары».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A2EC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Жайымов</w:t>
            </w:r>
            <w:proofErr w:type="spellEnd"/>
          </w:p>
        </w:tc>
      </w:tr>
      <w:tr w:rsidR="000A6A65" w:rsidRPr="00C86F46" w14:paraId="24179DA9" w14:textId="77777777" w:rsidTr="000A6A65">
        <w:trPr>
          <w:trHeight w:val="2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7925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3D5C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11.02- 11.05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BFC0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Парад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басталады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: Ту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ұстаушылар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,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негізгі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топ,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кейіпкерлер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,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бишілер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.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Көркемдік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фонда «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Елтаңба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», «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Бүркіт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», «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Күн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», «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Ою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», «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Қарлы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шың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», «Дата»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ED9C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Әскерлер-200,</w:t>
            </w: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br/>
              <w:t>Студенттер-680, артистер-30, бишілер-600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50BE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4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түсті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200 ту,</w:t>
            </w: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br/>
              <w:t xml:space="preserve">1600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шоқ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гүл,түрлі</w:t>
            </w:r>
            <w:proofErr w:type="gram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-түсті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екі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метрлік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1200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ленталар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3F0C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proofErr w:type="gram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Бестібаев«</w:t>
            </w:r>
            <w:proofErr w:type="gram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Көне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Түркістан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»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фонограм-ма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87C6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Щевченко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,</w:t>
            </w: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br/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Әдікәрімова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,</w:t>
            </w: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br/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Кәпесов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,</w:t>
            </w: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br/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Мұратбаев</w:t>
            </w:r>
            <w:proofErr w:type="spellEnd"/>
          </w:p>
        </w:tc>
      </w:tr>
      <w:tr w:rsidR="000A6A65" w:rsidRPr="00C86F46" w14:paraId="6D774153" w14:textId="77777777" w:rsidTr="000A6A65">
        <w:trPr>
          <w:trHeight w:val="2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810FF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CDBF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11.05-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DA53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75FE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9B4B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5633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C714" w14:textId="77777777" w:rsidR="000A6A65" w:rsidRPr="00C86F46" w:rsidRDefault="000A6A65" w:rsidP="00C86F46">
            <w:pPr>
              <w:spacing w:after="100" w:afterAutospacing="1" w:line="405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?</w:t>
            </w:r>
          </w:p>
        </w:tc>
      </w:tr>
    </w:tbl>
    <w:p w14:paraId="1311FF1F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тобының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әрқайсысына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таратылып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әркімнің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мүлтіксіз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4750661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-ала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жұмыстарына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тәуелді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режиссер,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сценарист, композитор, балетмейстер,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администратролар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ұжымдардың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жетекшілерінен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фон,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топ,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бүге-шігесіне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түсіндіріліп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атқаратындықтары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әрқайсысына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тисті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минутына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кестесі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беріледі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топпен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жеке-жеке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жинақтау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тобының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ұстанымы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босқа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өлтірмей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уақытта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басталмаса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қатынасушы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жауапсыздығына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қызығушылығының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суынуына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әкеп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соқтырады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кестесінде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өлшемінде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үлгіруге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Ол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кестесін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таратылуы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2647"/>
        <w:gridCol w:w="1439"/>
        <w:gridCol w:w="2154"/>
        <w:gridCol w:w="803"/>
        <w:gridCol w:w="1420"/>
      </w:tblGrid>
      <w:tr w:rsidR="000A6A65" w:rsidRPr="00C86F46" w14:paraId="75B07BE1" w14:textId="77777777" w:rsidTr="000A6A65">
        <w:trPr>
          <w:trHeight w:val="245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80F9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уақыты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79BF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Дайындық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жоспары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D4B15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орыны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5565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қатысушылар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EBC5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саны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A383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Жауап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-р</w:t>
            </w:r>
          </w:p>
        </w:tc>
      </w:tr>
      <w:tr w:rsidR="000A6A65" w:rsidRPr="00C86F46" w14:paraId="0921EC4E" w14:textId="77777777" w:rsidTr="000A6A65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55CA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D1EA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17, 18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наурыз</w:t>
            </w:r>
            <w:proofErr w:type="spellEnd"/>
          </w:p>
        </w:tc>
      </w:tr>
      <w:tr w:rsidR="000A6A65" w:rsidRPr="00C86F46" w14:paraId="51CBEFF3" w14:textId="77777777" w:rsidTr="000A6A65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32E32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14.00- 16.00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2767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Негізгі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топ (фоновая группа)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8259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«Динамо»</w:t>
            </w: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br/>
              <w:t>стадионы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4157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КазҰӨА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,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КазҰУ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,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ЭжЦК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5224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F702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Омар Ә.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Әсет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Б.</w:t>
            </w:r>
          </w:p>
        </w:tc>
      </w:tr>
      <w:tr w:rsidR="000A6A65" w:rsidRPr="00C86F46" w14:paraId="478CDE47" w14:textId="77777777" w:rsidTr="000A6A65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3085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lastRenderedPageBreak/>
              <w:t>16.30- 18.00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1FBA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Барабаншылар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, про-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логтагы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бишілер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125C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«Астана»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алаңы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53EC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АЖӘКкурсант</w:t>
            </w:r>
            <w:proofErr w:type="spellEnd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-тары,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бишілер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7248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100, 100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FD36" w14:textId="77777777" w:rsidR="000A6A65" w:rsidRPr="00C86F46" w:rsidRDefault="000A6A65" w:rsidP="00C86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</w:pPr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 xml:space="preserve">Беков Т. </w:t>
            </w:r>
            <w:proofErr w:type="spellStart"/>
            <w:r w:rsidRPr="00C86F46">
              <w:rPr>
                <w:rFonts w:ascii="Times New Roman" w:eastAsia="Times New Roman" w:hAnsi="Times New Roman" w:cs="Times New Roman"/>
                <w:color w:val="38393D"/>
                <w:kern w:val="0"/>
                <w:sz w:val="28"/>
                <w:szCs w:val="28"/>
                <w:lang w:eastAsia="ru-KZ"/>
                <w14:ligatures w14:val="none"/>
              </w:rPr>
              <w:t>Қалиева</w:t>
            </w:r>
            <w:proofErr w:type="spellEnd"/>
          </w:p>
        </w:tc>
      </w:tr>
    </w:tbl>
    <w:p w14:paraId="02382596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20 </w:t>
      </w:r>
      <w:proofErr w:type="spellStart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наурыз</w:t>
      </w:r>
      <w:proofErr w:type="spellEnd"/>
    </w:p>
    <w:p w14:paraId="3F068C29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21 </w:t>
      </w:r>
      <w:proofErr w:type="spellStart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наурыз</w:t>
      </w:r>
      <w:proofErr w:type="spellEnd"/>
    </w:p>
    <w:p w14:paraId="793BE23A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кете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962BA0B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репетициясыз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өткізетіндей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қалыптаспауы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режиссер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топтың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қатысушы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ұғынуымыз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B87EBEC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композитордың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еншісінде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мәдени-шараның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орнына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лайықты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үйлестіре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proofErr w:type="gram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түрлерінің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(</w:t>
      </w:r>
      <w:proofErr w:type="spellStart"/>
      <w:proofErr w:type="gram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би, оркестр, хор, цирк, пантомима,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аңдар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техника,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.)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ерекшеліктерін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шеберлігін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ететіні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партитурасына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жолмен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композитордың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арнайы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өңдеу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жинақталған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музыкалары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композитордың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партитураның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стильдік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аспаптық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тұтастығын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жауапгершілікті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басталуынан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финалдық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аккордына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анықтау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композитордың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ғылми-техникалық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жетістіктерге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сүйене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үнтаспаға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әуендер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кино,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телевидениенің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кереметтей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мүмкіндіктерін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кереметтей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187291DB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тиянақты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көмекшілер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ауадай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еш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үзіліссіз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элементтері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жалғасып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көмекшілердің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білікті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еңбектері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динамикасы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бұзылмауы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идеялық-көркемдігінің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тұтастығының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кепілі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композитор,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администратордың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болмауынан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атқаруына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жағыдайда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сүйеп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ашатындай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пайдалану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нәтижесін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E523F38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lastRenderedPageBreak/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 xml:space="preserve"> концерт</w:t>
      </w: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жанрлардан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құрастырылып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тақырыпқа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бағындырылады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әндер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көрсетілер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таңдалып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алынады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Филармониялық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өзгешелігі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концерт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бөлімді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1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10 минут – 1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30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минуттан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бөлімді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біріншісі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- 1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сағат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екіншісі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- 55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минуттан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аспағаны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шыдамын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тауысып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зерігуіне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бермеуіміз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монтаждық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парақтағы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көрсеткішін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сақтап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арасында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орынсыз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кідірістерге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берілмеуін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қадағалау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 </w:t>
      </w:r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орындалар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концерттің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эпиграммасы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төлқұжаты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әріпі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алғашқы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номердің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адамдық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ұжымның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орындауындағы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әсері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күшті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номермен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басталғаны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...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орындалар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номерді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ірілендіріп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(крупный план)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көрсетудің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жолдарын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қарастыруларың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керек... Финал -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концерттің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шарықтау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шегі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идеяның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түйінделер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нүктесі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көрермендерін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рухтандырарлықтай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қуатты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күшке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шырқау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биікке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көтерілгені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мақұл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...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салада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сезімталдығы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жоғары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білім-парасаты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мол,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қызығушылығы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басым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болумен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кәсіби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көркемөнерпаздық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орындаушылықтың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мүмкіндігін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білегені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көзқарасы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мұраттастарын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тырысуы</w:t>
      </w:r>
      <w:proofErr w:type="spellEnd"/>
      <w:r w:rsidRPr="00C86F46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керек»</w:t>
      </w:r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-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дейтін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Иосиф Михайлович.</w:t>
      </w:r>
    </w:p>
    <w:p w14:paraId="34503E2E" w14:textId="77777777" w:rsidR="000A6A65" w:rsidRPr="00C86F46" w:rsidRDefault="000A6A65" w:rsidP="00C86F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даталы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мерекелердегі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мейрамдардағы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театрландырылған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концерттік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бағдарламаларға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талап-тілектер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артып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күрделеніп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түрленіп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отырған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істері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орасан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зор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айдан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Эстетикалық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этикалық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тәлім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берер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түріне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тер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төгу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жауапты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абройлы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миссиясы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естен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шығармағанымыз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C86F46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66DEBF90" w14:textId="77777777" w:rsidR="00674E78" w:rsidRPr="00C86F46" w:rsidRDefault="00674E78" w:rsidP="00C86F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E78" w:rsidRPr="00C8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78"/>
    <w:rsid w:val="000A6A65"/>
    <w:rsid w:val="00674E78"/>
    <w:rsid w:val="00C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BB79B-ED50-4A84-8E75-EE979343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3815</Words>
  <Characters>21746</Characters>
  <Application>Microsoft Office Word</Application>
  <DocSecurity>0</DocSecurity>
  <Lines>181</Lines>
  <Paragraphs>51</Paragraphs>
  <ScaleCrop>false</ScaleCrop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3</cp:revision>
  <dcterms:created xsi:type="dcterms:W3CDTF">2023-12-15T10:14:00Z</dcterms:created>
  <dcterms:modified xsi:type="dcterms:W3CDTF">2024-01-08T08:26:00Z</dcterms:modified>
</cp:coreProperties>
</file>